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67EF16EA" w:rsidR="009611BF" w:rsidRPr="009906EF" w:rsidRDefault="009611BF" w:rsidP="00283FC5">
      <w:pPr>
        <w:pStyle w:val="CRCoverPage"/>
        <w:tabs>
          <w:tab w:val="right" w:pos="9639"/>
        </w:tabs>
        <w:spacing w:after="0"/>
        <w:rPr>
          <w:b/>
          <w:noProof/>
          <w:sz w:val="24"/>
        </w:rPr>
      </w:pPr>
      <w:r>
        <w:rPr>
          <w:b/>
          <w:noProof/>
          <w:sz w:val="24"/>
        </w:rPr>
        <w:t>3GPP TSG-SA WG2 Meeting #132</w:t>
      </w:r>
      <w:r>
        <w:rPr>
          <w:b/>
          <w:i/>
          <w:noProof/>
          <w:sz w:val="24"/>
        </w:rPr>
        <w:t xml:space="preserve"> </w:t>
      </w:r>
      <w:r>
        <w:rPr>
          <w:b/>
          <w:i/>
          <w:noProof/>
          <w:sz w:val="28"/>
        </w:rPr>
        <w:tab/>
      </w:r>
      <w:r w:rsidR="00E758D4" w:rsidRPr="00E758D4">
        <w:rPr>
          <w:b/>
          <w:i/>
          <w:noProof/>
          <w:sz w:val="28"/>
        </w:rPr>
        <w:t>S2-1905304</w:t>
      </w:r>
    </w:p>
    <w:p w14:paraId="2A3E694C" w14:textId="3C277E08" w:rsidR="009611BF" w:rsidRPr="00F76B76" w:rsidRDefault="009611BF" w:rsidP="009611BF">
      <w:pPr>
        <w:pBdr>
          <w:bottom w:val="single" w:sz="6" w:space="0" w:color="auto"/>
        </w:pBdr>
        <w:tabs>
          <w:tab w:val="right" w:pos="9638"/>
        </w:tabs>
        <w:rPr>
          <w:rFonts w:ascii="Arial" w:hAnsi="Arial" w:cs="Arial"/>
          <w:b/>
          <w:bCs/>
          <w:sz w:val="24"/>
          <w:szCs w:val="24"/>
        </w:rPr>
      </w:pPr>
      <w:r w:rsidRPr="00F338FB">
        <w:rPr>
          <w:rFonts w:ascii="Arial" w:hAnsi="Arial" w:cs="Arial"/>
          <w:b/>
          <w:bCs/>
          <w:sz w:val="24"/>
          <w:szCs w:val="24"/>
        </w:rPr>
        <w:t>Xi’an, China, 8 - 12 April</w:t>
      </w:r>
      <w:r w:rsidR="00841B2A">
        <w:rPr>
          <w:rFonts w:ascii="Arial" w:hAnsi="Arial" w:cs="Arial"/>
          <w:b/>
          <w:bCs/>
        </w:rPr>
        <w:t>, 2019</w:t>
      </w:r>
      <w:r>
        <w:rPr>
          <w:rFonts w:ascii="Arial" w:hAnsi="Arial" w:cs="Arial"/>
          <w:b/>
          <w:bCs/>
        </w:rPr>
        <w:tab/>
      </w:r>
      <w:r w:rsidRPr="00F76B76">
        <w:rPr>
          <w:rFonts w:ascii="Arial" w:hAnsi="Arial" w:cs="Arial"/>
          <w:b/>
          <w:bCs/>
        </w:rPr>
        <w:t>(</w:t>
      </w:r>
      <w:r w:rsidRPr="00F76B76">
        <w:rPr>
          <w:rFonts w:ascii="Arial" w:hAnsi="Arial" w:cs="Arial"/>
          <w:b/>
          <w:bCs/>
          <w:color w:val="0000FF"/>
        </w:rPr>
        <w:t xml:space="preserve">revision of </w:t>
      </w:r>
      <w:r w:rsidR="00E758D4" w:rsidRPr="00E758D4">
        <w:rPr>
          <w:rFonts w:ascii="Arial" w:hAnsi="Arial" w:cs="Arial"/>
          <w:b/>
          <w:bCs/>
          <w:color w:val="0000FF"/>
        </w:rPr>
        <w:t>S2-1904491</w:t>
      </w:r>
      <w:bookmarkStart w:id="0" w:name="_GoBack"/>
      <w:bookmarkEnd w:id="0"/>
      <w:r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6BDF2601" w:rsidR="001E41F3" w:rsidRPr="00410371" w:rsidRDefault="00914EF1" w:rsidP="00914EF1">
            <w:pPr>
              <w:pStyle w:val="CRCoverPage"/>
              <w:spacing w:after="0"/>
              <w:jc w:val="center"/>
              <w:rPr>
                <w:b/>
                <w:noProof/>
                <w:sz w:val="28"/>
              </w:rPr>
            </w:pPr>
            <w:r>
              <w:rPr>
                <w:b/>
                <w:noProof/>
                <w:sz w:val="28"/>
              </w:rPr>
              <w:t>23.501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620D0C08" w:rsidR="001E41F3" w:rsidRPr="00410371" w:rsidRDefault="005E5A58" w:rsidP="00547111">
            <w:pPr>
              <w:pStyle w:val="CRCoverPage"/>
              <w:spacing w:after="0"/>
              <w:rPr>
                <w:noProof/>
              </w:rPr>
            </w:pPr>
            <w:r>
              <w:rPr>
                <w:b/>
                <w:noProof/>
                <w:sz w:val="28"/>
              </w:rPr>
              <w:t>1041</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7E62133F" w:rsidR="001E41F3" w:rsidRPr="00410371" w:rsidRDefault="00C4784D" w:rsidP="00E13F3D">
            <w:pPr>
              <w:pStyle w:val="CRCoverPage"/>
              <w:spacing w:after="0"/>
              <w:jc w:val="center"/>
              <w:rPr>
                <w:b/>
                <w:noProof/>
              </w:rPr>
            </w:pPr>
            <w:r>
              <w:rPr>
                <w:b/>
                <w:noProof/>
                <w:sz w:val="28"/>
              </w:rPr>
              <w:t>2</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0F2493A4" w:rsidR="001E41F3" w:rsidRPr="00410371" w:rsidRDefault="0069133F">
            <w:pPr>
              <w:pStyle w:val="CRCoverPage"/>
              <w:spacing w:after="0"/>
              <w:jc w:val="center"/>
              <w:rPr>
                <w:noProof/>
                <w:sz w:val="28"/>
              </w:rPr>
            </w:pPr>
            <w:r>
              <w:rPr>
                <w:b/>
                <w:noProof/>
                <w:sz w:val="28"/>
              </w:rPr>
              <w:t>15.5.0</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738C7287" w:rsidR="00F25D98" w:rsidRDefault="002366FE"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5441D06B" w:rsidR="001E41F3" w:rsidRDefault="007673FB">
            <w:pPr>
              <w:pStyle w:val="CRCoverPage"/>
              <w:spacing w:after="0"/>
              <w:ind w:left="100"/>
              <w:rPr>
                <w:noProof/>
              </w:rPr>
            </w:pPr>
            <w:r>
              <w:t>Correcting factors to consider for PCF selection</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77777777"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1802585D" w:rsidR="001E41F3" w:rsidRDefault="004523DC">
            <w:pPr>
              <w:pStyle w:val="CRCoverPage"/>
              <w:spacing w:after="0"/>
              <w:ind w:left="100"/>
              <w:rPr>
                <w:noProof/>
              </w:rPr>
            </w:pPr>
            <w:r>
              <w:rPr>
                <w:noProof/>
              </w:rPr>
              <w:t>5GS_P</w:t>
            </w:r>
            <w:r w:rsidR="00BD390B">
              <w:rPr>
                <w:noProof/>
              </w:rPr>
              <w:t>h</w:t>
            </w:r>
            <w:r>
              <w:rPr>
                <w:noProof/>
              </w:rPr>
              <w:t>1</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67862C70" w:rsidR="001E41F3" w:rsidRDefault="00BD390B">
            <w:pPr>
              <w:pStyle w:val="CRCoverPage"/>
              <w:spacing w:after="0"/>
              <w:ind w:left="100"/>
              <w:rPr>
                <w:noProof/>
              </w:rPr>
            </w:pPr>
            <w:r>
              <w:rPr>
                <w:noProof/>
              </w:rPr>
              <w:t>2019-04-01</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68D472B6" w:rsidR="001E41F3" w:rsidRDefault="001D68DC" w:rsidP="00D24991">
            <w:pPr>
              <w:pStyle w:val="CRCoverPage"/>
              <w:spacing w:after="0"/>
              <w:ind w:left="100" w:right="-609"/>
              <w:rPr>
                <w:b/>
                <w:noProof/>
              </w:rPr>
            </w:pPr>
            <w:r w:rsidRPr="00884E2A">
              <w:rPr>
                <w:b/>
                <w:noProof/>
                <w:color w:val="000000" w:themeColor="text1"/>
              </w:rPr>
              <w:fldChar w:fldCharType="begin"/>
            </w:r>
            <w:r w:rsidRPr="00884E2A">
              <w:rPr>
                <w:b/>
                <w:noProof/>
                <w:color w:val="000000" w:themeColor="text1"/>
              </w:rPr>
              <w:instrText xml:space="preserve"> DOCPROPERTY  Cat  \* MERGEFORMAT </w:instrText>
            </w:r>
            <w:r w:rsidRPr="00884E2A">
              <w:rPr>
                <w:b/>
                <w:noProof/>
                <w:color w:val="000000" w:themeColor="text1"/>
              </w:rPr>
              <w:fldChar w:fldCharType="separate"/>
            </w:r>
            <w:r w:rsidR="00F47296" w:rsidRPr="00884E2A">
              <w:rPr>
                <w:b/>
                <w:noProof/>
                <w:color w:val="000000" w:themeColor="text1"/>
              </w:rPr>
              <w:t>F</w:t>
            </w:r>
            <w:r w:rsidRPr="00884E2A">
              <w:rPr>
                <w:b/>
                <w:noProof/>
                <w:color w:val="000000" w:themeColor="text1"/>
              </w:rPr>
              <w:fldChar w:fldCharType="end"/>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5A092603"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w:t>
            </w:r>
            <w:r w:rsidR="000F7815">
              <w:rPr>
                <w:noProof/>
              </w:rPr>
              <w:t>5</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90A4DD" w14:textId="77777777" w:rsidR="001E41F3" w:rsidRDefault="00E51C51">
            <w:pPr>
              <w:pStyle w:val="CRCoverPage"/>
              <w:spacing w:after="0"/>
              <w:ind w:left="100"/>
              <w:rPr>
                <w:noProof/>
              </w:rPr>
            </w:pPr>
            <w:r>
              <w:rPr>
                <w:noProof/>
              </w:rPr>
              <w:t xml:space="preserve">It is not stated what factors AMF should consider when selecting a PCF instance. Ericsson understanding is that </w:t>
            </w:r>
            <w:r w:rsidR="005171F8">
              <w:rPr>
                <w:noProof/>
              </w:rPr>
              <w:t xml:space="preserve">AMF should consider the SUPI and allowed NSSAI </w:t>
            </w:r>
            <w:r w:rsidR="009603EE">
              <w:rPr>
                <w:noProof/>
              </w:rPr>
              <w:t>for the UE.</w:t>
            </w:r>
          </w:p>
          <w:p w14:paraId="3649DEF9" w14:textId="77777777" w:rsidR="009603EE" w:rsidRDefault="009603EE">
            <w:pPr>
              <w:pStyle w:val="CRCoverPage"/>
              <w:spacing w:after="0"/>
              <w:ind w:left="100"/>
              <w:rPr>
                <w:noProof/>
              </w:rPr>
            </w:pPr>
          </w:p>
          <w:p w14:paraId="6ADDBB6A" w14:textId="77777777" w:rsidR="009603EE" w:rsidRDefault="009603EE">
            <w:pPr>
              <w:pStyle w:val="CRCoverPage"/>
              <w:spacing w:after="0"/>
              <w:ind w:left="100"/>
              <w:rPr>
                <w:noProof/>
              </w:rPr>
            </w:pPr>
            <w:r>
              <w:rPr>
                <w:noProof/>
              </w:rPr>
              <w:t xml:space="preserve">The input to for selecting a </w:t>
            </w:r>
            <w:r w:rsidR="00881E7E">
              <w:rPr>
                <w:noProof/>
              </w:rPr>
              <w:t>PCF instance</w:t>
            </w:r>
            <w:r w:rsidR="007D7E68">
              <w:rPr>
                <w:noProof/>
              </w:rPr>
              <w:t xml:space="preserve"> by SMF</w:t>
            </w:r>
            <w:r w:rsidR="00881E7E">
              <w:rPr>
                <w:noProof/>
              </w:rPr>
              <w:t xml:space="preserve"> for a PDU session is SUPI, S-NSSAI, DNN wheras the NF profiles of </w:t>
            </w:r>
            <w:r w:rsidR="00334DE3">
              <w:rPr>
                <w:noProof/>
              </w:rPr>
              <w:t>target/candidate PCF instances contains SUPI range, list of DNNs, list of S-NSSAIs</w:t>
            </w:r>
            <w:r w:rsidR="00896E19">
              <w:rPr>
                <w:noProof/>
              </w:rPr>
              <w:t xml:space="preserve">. </w:t>
            </w:r>
            <w:r w:rsidR="007D7E68">
              <w:rPr>
                <w:noProof/>
              </w:rPr>
              <w:t>What should be stated of the factors to consider when SMF selects a PCF instance should be the input paramters and not the NF profile parameters.</w:t>
            </w:r>
            <w:r w:rsidR="00896E19">
              <w:rPr>
                <w:noProof/>
              </w:rPr>
              <w:t xml:space="preserve"> </w:t>
            </w:r>
          </w:p>
          <w:p w14:paraId="59F6636F" w14:textId="77777777" w:rsidR="00C4784D" w:rsidRDefault="00C4784D">
            <w:pPr>
              <w:pStyle w:val="CRCoverPage"/>
              <w:spacing w:after="0"/>
              <w:ind w:left="100"/>
              <w:rPr>
                <w:noProof/>
              </w:rPr>
            </w:pPr>
            <w:r>
              <w:rPr>
                <w:noProof/>
              </w:rPr>
              <w:t>Rev 1</w:t>
            </w:r>
            <w:r>
              <w:rPr>
                <w:noProof/>
              </w:rPr>
              <w:sym w:font="Wingdings" w:char="F0E0"/>
            </w:r>
            <w:r>
              <w:rPr>
                <w:noProof/>
              </w:rPr>
              <w:t xml:space="preserve"> Rev 2</w:t>
            </w:r>
          </w:p>
          <w:p w14:paraId="2314E9A9" w14:textId="326A0C7B" w:rsidR="005778CF" w:rsidRDefault="005778CF">
            <w:pPr>
              <w:pStyle w:val="CRCoverPage"/>
              <w:spacing w:after="0"/>
              <w:ind w:left="100"/>
              <w:rPr>
                <w:noProof/>
              </w:rPr>
            </w:pPr>
            <w:r>
              <w:rPr>
                <w:noProof/>
              </w:rPr>
              <w:t>Fixing the editorial correction done in Rev 1 that was did not show change markes when moving the text related to UE and AM policies under AMF text instead of being under SMF text.</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7673FB" w14:paraId="788B3F99" w14:textId="77777777" w:rsidTr="00547111">
        <w:tc>
          <w:tcPr>
            <w:tcW w:w="2694" w:type="dxa"/>
            <w:gridSpan w:val="2"/>
            <w:tcBorders>
              <w:left w:val="single" w:sz="4" w:space="0" w:color="auto"/>
            </w:tcBorders>
          </w:tcPr>
          <w:p w14:paraId="0565A870" w14:textId="77777777" w:rsidR="007673FB" w:rsidRDefault="007673FB" w:rsidP="007673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FB8E35" w14:textId="68E93126" w:rsidR="007673FB" w:rsidRDefault="008E3B26" w:rsidP="007673FB">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7673FB">
              <w:rPr>
                <w:noProof/>
              </w:rPr>
              <w:t>Adding factors to consider when selecting AM and UE policies, and correcting factors to consider when selecting PCF for PDU session policies</w:t>
            </w:r>
            <w:r>
              <w:rPr>
                <w:noProof/>
              </w:rPr>
              <w:fldChar w:fldCharType="end"/>
            </w:r>
          </w:p>
        </w:tc>
      </w:tr>
      <w:tr w:rsidR="007673FB" w14:paraId="794BB64D" w14:textId="77777777" w:rsidTr="00547111">
        <w:tc>
          <w:tcPr>
            <w:tcW w:w="2694" w:type="dxa"/>
            <w:gridSpan w:val="2"/>
            <w:tcBorders>
              <w:left w:val="single" w:sz="4" w:space="0" w:color="auto"/>
            </w:tcBorders>
          </w:tcPr>
          <w:p w14:paraId="1113C134" w14:textId="77777777" w:rsidR="007673FB" w:rsidRDefault="007673FB" w:rsidP="007673FB">
            <w:pPr>
              <w:pStyle w:val="CRCoverPage"/>
              <w:spacing w:after="0"/>
              <w:rPr>
                <w:b/>
                <w:i/>
                <w:noProof/>
                <w:sz w:val="8"/>
                <w:szCs w:val="8"/>
              </w:rPr>
            </w:pPr>
          </w:p>
        </w:tc>
        <w:tc>
          <w:tcPr>
            <w:tcW w:w="6946" w:type="dxa"/>
            <w:gridSpan w:val="9"/>
            <w:tcBorders>
              <w:right w:val="single" w:sz="4" w:space="0" w:color="auto"/>
            </w:tcBorders>
          </w:tcPr>
          <w:p w14:paraId="3DE79BAB" w14:textId="77777777" w:rsidR="007673FB" w:rsidRDefault="007673FB" w:rsidP="007673FB">
            <w:pPr>
              <w:pStyle w:val="CRCoverPage"/>
              <w:spacing w:after="0"/>
              <w:rPr>
                <w:noProof/>
                <w:sz w:val="8"/>
                <w:szCs w:val="8"/>
              </w:rPr>
            </w:pPr>
          </w:p>
        </w:tc>
      </w:tr>
      <w:tr w:rsidR="007673FB" w14:paraId="5F3335C9" w14:textId="77777777" w:rsidTr="00547111">
        <w:tc>
          <w:tcPr>
            <w:tcW w:w="2694" w:type="dxa"/>
            <w:gridSpan w:val="2"/>
            <w:tcBorders>
              <w:left w:val="single" w:sz="4" w:space="0" w:color="auto"/>
              <w:bottom w:val="single" w:sz="4" w:space="0" w:color="auto"/>
            </w:tcBorders>
          </w:tcPr>
          <w:p w14:paraId="689D973D" w14:textId="77777777" w:rsidR="007673FB" w:rsidRDefault="007673FB" w:rsidP="007673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74E9848B" w:rsidR="007673FB" w:rsidRDefault="00444351" w:rsidP="007673FB">
            <w:pPr>
              <w:pStyle w:val="CRCoverPage"/>
              <w:spacing w:after="0"/>
              <w:ind w:left="100"/>
              <w:rPr>
                <w:noProof/>
              </w:rPr>
            </w:pPr>
            <w:r>
              <w:rPr>
                <w:noProof/>
              </w:rPr>
              <w:t>Missunderstanding of specification leading to faulty implementations</w:t>
            </w:r>
          </w:p>
        </w:tc>
      </w:tr>
      <w:tr w:rsidR="007673FB" w14:paraId="58794564" w14:textId="77777777" w:rsidTr="00547111">
        <w:tc>
          <w:tcPr>
            <w:tcW w:w="2694" w:type="dxa"/>
            <w:gridSpan w:val="2"/>
          </w:tcPr>
          <w:p w14:paraId="4AA3488C" w14:textId="77777777" w:rsidR="007673FB" w:rsidRDefault="007673FB" w:rsidP="007673FB">
            <w:pPr>
              <w:pStyle w:val="CRCoverPage"/>
              <w:spacing w:after="0"/>
              <w:rPr>
                <w:b/>
                <w:i/>
                <w:noProof/>
                <w:sz w:val="8"/>
                <w:szCs w:val="8"/>
              </w:rPr>
            </w:pPr>
          </w:p>
        </w:tc>
        <w:tc>
          <w:tcPr>
            <w:tcW w:w="6946" w:type="dxa"/>
            <w:gridSpan w:val="9"/>
          </w:tcPr>
          <w:p w14:paraId="7522F0B5" w14:textId="77777777" w:rsidR="007673FB" w:rsidRDefault="007673FB" w:rsidP="007673FB">
            <w:pPr>
              <w:pStyle w:val="CRCoverPage"/>
              <w:spacing w:after="0"/>
              <w:rPr>
                <w:noProof/>
                <w:sz w:val="8"/>
                <w:szCs w:val="8"/>
              </w:rPr>
            </w:pPr>
          </w:p>
        </w:tc>
      </w:tr>
      <w:tr w:rsidR="007673FB" w14:paraId="4576DA94" w14:textId="77777777" w:rsidTr="00547111">
        <w:tc>
          <w:tcPr>
            <w:tcW w:w="2694" w:type="dxa"/>
            <w:gridSpan w:val="2"/>
            <w:tcBorders>
              <w:top w:val="single" w:sz="4" w:space="0" w:color="auto"/>
              <w:left w:val="single" w:sz="4" w:space="0" w:color="auto"/>
            </w:tcBorders>
          </w:tcPr>
          <w:p w14:paraId="3F67EE10" w14:textId="77777777" w:rsidR="007673FB" w:rsidRDefault="007673FB" w:rsidP="007673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2121EAE4" w:rsidR="007673FB" w:rsidRDefault="002366FE" w:rsidP="007673FB">
            <w:pPr>
              <w:pStyle w:val="CRCoverPage"/>
              <w:spacing w:after="0"/>
              <w:ind w:left="100"/>
              <w:rPr>
                <w:noProof/>
              </w:rPr>
            </w:pPr>
            <w:r>
              <w:rPr>
                <w:rFonts w:eastAsia="SimSun"/>
                <w:lang w:eastAsia="zh-CN"/>
              </w:rPr>
              <w:t>6.3.7</w:t>
            </w:r>
            <w:r>
              <w:rPr>
                <w:rFonts w:eastAsia="Malgun Gothic"/>
                <w:lang w:eastAsia="ko-KR"/>
              </w:rPr>
              <w:t>.1</w:t>
            </w:r>
          </w:p>
        </w:tc>
      </w:tr>
      <w:tr w:rsidR="007673FB" w14:paraId="6D4A9747" w14:textId="77777777" w:rsidTr="00547111">
        <w:tc>
          <w:tcPr>
            <w:tcW w:w="2694" w:type="dxa"/>
            <w:gridSpan w:val="2"/>
            <w:tcBorders>
              <w:left w:val="single" w:sz="4" w:space="0" w:color="auto"/>
            </w:tcBorders>
          </w:tcPr>
          <w:p w14:paraId="7BAC2A17" w14:textId="77777777" w:rsidR="007673FB" w:rsidRDefault="007673FB" w:rsidP="007673FB">
            <w:pPr>
              <w:pStyle w:val="CRCoverPage"/>
              <w:spacing w:after="0"/>
              <w:rPr>
                <w:b/>
                <w:i/>
                <w:noProof/>
                <w:sz w:val="8"/>
                <w:szCs w:val="8"/>
              </w:rPr>
            </w:pPr>
          </w:p>
        </w:tc>
        <w:tc>
          <w:tcPr>
            <w:tcW w:w="6946" w:type="dxa"/>
            <w:gridSpan w:val="9"/>
            <w:tcBorders>
              <w:right w:val="single" w:sz="4" w:space="0" w:color="auto"/>
            </w:tcBorders>
          </w:tcPr>
          <w:p w14:paraId="16D7BBC1" w14:textId="77777777" w:rsidR="007673FB" w:rsidRDefault="007673FB" w:rsidP="007673FB">
            <w:pPr>
              <w:pStyle w:val="CRCoverPage"/>
              <w:spacing w:after="0"/>
              <w:rPr>
                <w:noProof/>
                <w:sz w:val="8"/>
                <w:szCs w:val="8"/>
              </w:rPr>
            </w:pPr>
          </w:p>
        </w:tc>
      </w:tr>
      <w:tr w:rsidR="007673FB" w14:paraId="039E3995" w14:textId="77777777" w:rsidTr="00547111">
        <w:tc>
          <w:tcPr>
            <w:tcW w:w="2694" w:type="dxa"/>
            <w:gridSpan w:val="2"/>
            <w:tcBorders>
              <w:left w:val="single" w:sz="4" w:space="0" w:color="auto"/>
            </w:tcBorders>
          </w:tcPr>
          <w:p w14:paraId="619A7986" w14:textId="77777777" w:rsidR="007673FB" w:rsidRDefault="007673FB" w:rsidP="007673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7673FB" w:rsidRDefault="007673FB" w:rsidP="007673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7673FB" w:rsidRDefault="007673FB" w:rsidP="007673FB">
            <w:pPr>
              <w:pStyle w:val="CRCoverPage"/>
              <w:spacing w:after="0"/>
              <w:jc w:val="center"/>
              <w:rPr>
                <w:b/>
                <w:caps/>
                <w:noProof/>
              </w:rPr>
            </w:pPr>
            <w:r>
              <w:rPr>
                <w:b/>
                <w:caps/>
                <w:noProof/>
              </w:rPr>
              <w:t>N</w:t>
            </w:r>
          </w:p>
        </w:tc>
        <w:tc>
          <w:tcPr>
            <w:tcW w:w="2977" w:type="dxa"/>
            <w:gridSpan w:val="4"/>
          </w:tcPr>
          <w:p w14:paraId="7D5FE3B5" w14:textId="77777777" w:rsidR="007673FB" w:rsidRDefault="007673FB" w:rsidP="007673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7673FB" w:rsidRDefault="007673FB" w:rsidP="007673FB">
            <w:pPr>
              <w:pStyle w:val="CRCoverPage"/>
              <w:spacing w:after="0"/>
              <w:ind w:left="99"/>
              <w:rPr>
                <w:noProof/>
              </w:rPr>
            </w:pPr>
          </w:p>
        </w:tc>
      </w:tr>
      <w:tr w:rsidR="007673FB" w14:paraId="4BB898D5" w14:textId="77777777" w:rsidTr="00547111">
        <w:tc>
          <w:tcPr>
            <w:tcW w:w="2694" w:type="dxa"/>
            <w:gridSpan w:val="2"/>
            <w:tcBorders>
              <w:left w:val="single" w:sz="4" w:space="0" w:color="auto"/>
            </w:tcBorders>
          </w:tcPr>
          <w:p w14:paraId="6813B9D5" w14:textId="77777777" w:rsidR="007673FB" w:rsidRDefault="007673FB" w:rsidP="007673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7673FB"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6C5D84D7" w:rsidR="007673FB" w:rsidRDefault="00CD2754" w:rsidP="007673FB">
            <w:pPr>
              <w:pStyle w:val="CRCoverPage"/>
              <w:spacing w:after="0"/>
              <w:jc w:val="center"/>
              <w:rPr>
                <w:b/>
                <w:caps/>
                <w:noProof/>
              </w:rPr>
            </w:pPr>
            <w:r>
              <w:rPr>
                <w:b/>
                <w:caps/>
                <w:noProof/>
              </w:rPr>
              <w:t>X</w:t>
            </w:r>
          </w:p>
        </w:tc>
        <w:tc>
          <w:tcPr>
            <w:tcW w:w="2977" w:type="dxa"/>
            <w:gridSpan w:val="4"/>
          </w:tcPr>
          <w:p w14:paraId="07A26B21" w14:textId="77777777" w:rsidR="007673FB" w:rsidRDefault="007673FB" w:rsidP="007673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7673FB" w:rsidRDefault="007673FB" w:rsidP="007673FB">
            <w:pPr>
              <w:pStyle w:val="CRCoverPage"/>
              <w:spacing w:after="0"/>
              <w:ind w:left="99"/>
              <w:rPr>
                <w:noProof/>
              </w:rPr>
            </w:pPr>
            <w:r>
              <w:rPr>
                <w:noProof/>
              </w:rPr>
              <w:t xml:space="preserve">TS/TR ... CR ... </w:t>
            </w:r>
          </w:p>
        </w:tc>
      </w:tr>
      <w:tr w:rsidR="007673FB" w14:paraId="1B2718C1" w14:textId="77777777" w:rsidTr="00547111">
        <w:tc>
          <w:tcPr>
            <w:tcW w:w="2694" w:type="dxa"/>
            <w:gridSpan w:val="2"/>
            <w:tcBorders>
              <w:left w:val="single" w:sz="4" w:space="0" w:color="auto"/>
            </w:tcBorders>
          </w:tcPr>
          <w:p w14:paraId="03CC07B6" w14:textId="77777777" w:rsidR="007673FB" w:rsidRDefault="007673FB" w:rsidP="007673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7673FB"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5ABE0AD0" w:rsidR="007673FB" w:rsidRDefault="00CD2754" w:rsidP="007673FB">
            <w:pPr>
              <w:pStyle w:val="CRCoverPage"/>
              <w:spacing w:after="0"/>
              <w:jc w:val="center"/>
              <w:rPr>
                <w:b/>
                <w:caps/>
                <w:noProof/>
              </w:rPr>
            </w:pPr>
            <w:r>
              <w:rPr>
                <w:b/>
                <w:caps/>
                <w:noProof/>
              </w:rPr>
              <w:t>X</w:t>
            </w:r>
          </w:p>
        </w:tc>
        <w:tc>
          <w:tcPr>
            <w:tcW w:w="2977" w:type="dxa"/>
            <w:gridSpan w:val="4"/>
          </w:tcPr>
          <w:p w14:paraId="69E0CA14" w14:textId="77777777" w:rsidR="007673FB" w:rsidRDefault="007673FB" w:rsidP="007673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7673FB" w:rsidRDefault="007673FB" w:rsidP="007673FB">
            <w:pPr>
              <w:pStyle w:val="CRCoverPage"/>
              <w:spacing w:after="0"/>
              <w:ind w:left="99"/>
              <w:rPr>
                <w:noProof/>
              </w:rPr>
            </w:pPr>
            <w:r>
              <w:rPr>
                <w:noProof/>
              </w:rPr>
              <w:t xml:space="preserve">TS/TR ... CR ... </w:t>
            </w:r>
          </w:p>
        </w:tc>
      </w:tr>
      <w:tr w:rsidR="007673FB" w14:paraId="2AD612AD" w14:textId="77777777" w:rsidTr="00547111">
        <w:tc>
          <w:tcPr>
            <w:tcW w:w="2694" w:type="dxa"/>
            <w:gridSpan w:val="2"/>
            <w:tcBorders>
              <w:left w:val="single" w:sz="4" w:space="0" w:color="auto"/>
            </w:tcBorders>
          </w:tcPr>
          <w:p w14:paraId="45ED587D" w14:textId="77777777" w:rsidR="007673FB" w:rsidRDefault="007673FB" w:rsidP="007673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7673FB"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47B1BE2E" w:rsidR="007673FB" w:rsidRDefault="00CD2754" w:rsidP="007673FB">
            <w:pPr>
              <w:pStyle w:val="CRCoverPage"/>
              <w:spacing w:after="0"/>
              <w:jc w:val="center"/>
              <w:rPr>
                <w:b/>
                <w:caps/>
                <w:noProof/>
              </w:rPr>
            </w:pPr>
            <w:r>
              <w:rPr>
                <w:b/>
                <w:caps/>
                <w:noProof/>
              </w:rPr>
              <w:t>X</w:t>
            </w:r>
          </w:p>
        </w:tc>
        <w:tc>
          <w:tcPr>
            <w:tcW w:w="2977" w:type="dxa"/>
            <w:gridSpan w:val="4"/>
          </w:tcPr>
          <w:p w14:paraId="0D46ABFC" w14:textId="77777777" w:rsidR="007673FB" w:rsidRDefault="007673FB" w:rsidP="007673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7673FB" w:rsidRDefault="007673FB" w:rsidP="007673FB">
            <w:pPr>
              <w:pStyle w:val="CRCoverPage"/>
              <w:spacing w:after="0"/>
              <w:ind w:left="99"/>
              <w:rPr>
                <w:noProof/>
              </w:rPr>
            </w:pPr>
            <w:r>
              <w:rPr>
                <w:noProof/>
              </w:rPr>
              <w:t xml:space="preserve">TS/TR ... CR ... </w:t>
            </w:r>
          </w:p>
        </w:tc>
      </w:tr>
      <w:tr w:rsidR="007673FB" w14:paraId="679CDBE4" w14:textId="77777777" w:rsidTr="00547111">
        <w:tc>
          <w:tcPr>
            <w:tcW w:w="2694" w:type="dxa"/>
            <w:gridSpan w:val="2"/>
            <w:tcBorders>
              <w:left w:val="single" w:sz="4" w:space="0" w:color="auto"/>
            </w:tcBorders>
          </w:tcPr>
          <w:p w14:paraId="719747FE" w14:textId="77777777" w:rsidR="007673FB" w:rsidRDefault="007673FB" w:rsidP="007673FB">
            <w:pPr>
              <w:pStyle w:val="CRCoverPage"/>
              <w:spacing w:after="0"/>
              <w:rPr>
                <w:b/>
                <w:i/>
                <w:noProof/>
              </w:rPr>
            </w:pPr>
          </w:p>
        </w:tc>
        <w:tc>
          <w:tcPr>
            <w:tcW w:w="6946" w:type="dxa"/>
            <w:gridSpan w:val="9"/>
            <w:tcBorders>
              <w:right w:val="single" w:sz="4" w:space="0" w:color="auto"/>
            </w:tcBorders>
          </w:tcPr>
          <w:p w14:paraId="53B1D09C" w14:textId="77777777" w:rsidR="007673FB" w:rsidRDefault="007673FB" w:rsidP="007673FB">
            <w:pPr>
              <w:pStyle w:val="CRCoverPage"/>
              <w:spacing w:after="0"/>
              <w:rPr>
                <w:noProof/>
              </w:rPr>
            </w:pPr>
          </w:p>
        </w:tc>
      </w:tr>
      <w:tr w:rsidR="007673FB" w14:paraId="65953733" w14:textId="77777777" w:rsidTr="00547111">
        <w:tc>
          <w:tcPr>
            <w:tcW w:w="2694" w:type="dxa"/>
            <w:gridSpan w:val="2"/>
            <w:tcBorders>
              <w:left w:val="single" w:sz="4" w:space="0" w:color="auto"/>
              <w:bottom w:val="single" w:sz="4" w:space="0" w:color="auto"/>
            </w:tcBorders>
          </w:tcPr>
          <w:p w14:paraId="07ACB743" w14:textId="77777777" w:rsidR="007673FB" w:rsidRDefault="007673FB" w:rsidP="007673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7673FB" w:rsidRDefault="007673FB" w:rsidP="007673FB">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5AE62F" w14:textId="7B5421B8" w:rsidR="004E6C9E" w:rsidRDefault="004E6C9E" w:rsidP="004E6C9E">
      <w:pPr>
        <w:jc w:val="center"/>
        <w:rPr>
          <w:rFonts w:cs="Arial"/>
          <w:noProof/>
          <w:sz w:val="44"/>
          <w:szCs w:val="44"/>
        </w:rPr>
      </w:pPr>
      <w:bookmarkStart w:id="3" w:name="_Toc532891518"/>
      <w:r>
        <w:rPr>
          <w:rFonts w:cs="Arial"/>
          <w:noProof/>
          <w:sz w:val="44"/>
          <w:szCs w:val="44"/>
        </w:rPr>
        <w:lastRenderedPageBreak/>
        <w:t xml:space="preserve">*** BEGIN CHANGES </w:t>
      </w:r>
      <w:r w:rsidRPr="0037228B">
        <w:rPr>
          <w:rFonts w:cs="Arial"/>
          <w:noProof/>
          <w:sz w:val="44"/>
          <w:szCs w:val="44"/>
        </w:rPr>
        <w:t>***</w:t>
      </w:r>
    </w:p>
    <w:p w14:paraId="79CE3B20" w14:textId="77777777" w:rsidR="00C4784D" w:rsidRPr="009E0DE1" w:rsidRDefault="00C4784D" w:rsidP="00C4784D">
      <w:pPr>
        <w:pStyle w:val="Heading4"/>
        <w:rPr>
          <w:rFonts w:eastAsia="Malgun Gothic"/>
          <w:lang w:eastAsia="ko-KR"/>
        </w:rPr>
      </w:pPr>
      <w:bookmarkStart w:id="4" w:name="_Toc4422759"/>
      <w:r w:rsidRPr="009E0DE1">
        <w:rPr>
          <w:lang w:eastAsia="zh-CN"/>
        </w:rPr>
        <w:t>6.3.7</w:t>
      </w:r>
      <w:r w:rsidRPr="009E0DE1">
        <w:rPr>
          <w:rFonts w:eastAsia="Malgun Gothic"/>
          <w:lang w:eastAsia="ko-KR"/>
        </w:rPr>
        <w:t>.1</w:t>
      </w:r>
      <w:r w:rsidRPr="009E0DE1">
        <w:rPr>
          <w:lang w:eastAsia="zh-CN"/>
        </w:rPr>
        <w:tab/>
      </w:r>
      <w:r w:rsidRPr="009E0DE1">
        <w:rPr>
          <w:rFonts w:eastAsia="Malgun Gothic"/>
          <w:lang w:eastAsia="ko-KR"/>
        </w:rPr>
        <w:t>PCF discovery and selection for a UE or a PDU Session</w:t>
      </w:r>
      <w:bookmarkEnd w:id="4"/>
    </w:p>
    <w:p w14:paraId="77BF2DF0" w14:textId="77777777" w:rsidR="00C4784D" w:rsidRPr="009E0DE1" w:rsidRDefault="00C4784D" w:rsidP="00C4784D">
      <w:r>
        <w:t xml:space="preserve">PCF discovery and selection functionality </w:t>
      </w:r>
      <w:proofErr w:type="gramStart"/>
      <w:r>
        <w:t>is</w:t>
      </w:r>
      <w:proofErr w:type="gramEnd"/>
      <w:r>
        <w:t xml:space="preserve"> used by the </w:t>
      </w:r>
      <w:r w:rsidRPr="009E0DE1">
        <w:t>AMF</w:t>
      </w:r>
      <w:r>
        <w:t xml:space="preserve"> to</w:t>
      </w:r>
      <w:r w:rsidRPr="009E0DE1">
        <w:t xml:space="preserve"> select the PCF for a UE</w:t>
      </w:r>
      <w:r>
        <w:t xml:space="preserve"> and by</w:t>
      </w:r>
      <w:r w:rsidRPr="009E0DE1">
        <w:t xml:space="preserve"> the SMF</w:t>
      </w:r>
      <w:r>
        <w:t xml:space="preserve"> to</w:t>
      </w:r>
      <w:r w:rsidRPr="009E0DE1">
        <w:t xml:space="preserve"> select the PCF for a PDU Session, following the principle below:</w:t>
      </w:r>
    </w:p>
    <w:p w14:paraId="7C523F01" w14:textId="07B616E8" w:rsidR="00C4784D" w:rsidRDefault="00C4784D" w:rsidP="00C4784D">
      <w:pPr>
        <w:pStyle w:val="B1"/>
        <w:rPr>
          <w:ins w:id="5" w:author="Magnus Hallenstål" w:date="2019-05-07T11:19:00Z"/>
        </w:rPr>
      </w:pPr>
      <w:r w:rsidRPr="009E0DE1">
        <w:t>-</w:t>
      </w:r>
      <w:r w:rsidRPr="009E0DE1">
        <w:tab/>
        <w:t>The AMF</w:t>
      </w:r>
      <w:r>
        <w:t xml:space="preserve"> may</w:t>
      </w:r>
      <w:r w:rsidRPr="009E0DE1">
        <w:t xml:space="preserve"> utilize the NRF to discover the</w:t>
      </w:r>
      <w:r>
        <w:t xml:space="preserve"> candidate</w:t>
      </w:r>
      <w:r w:rsidRPr="009E0DE1">
        <w:t xml:space="preserve"> PCF instance(s) for a UE</w:t>
      </w:r>
      <w:r>
        <w:t>. In addition,</w:t>
      </w:r>
      <w:r w:rsidRPr="009E0DE1">
        <w:t xml:space="preserve"> PCF information</w:t>
      </w:r>
      <w:r>
        <w:t xml:space="preserve"> may also be</w:t>
      </w:r>
      <w:r w:rsidRPr="009E0DE1">
        <w:t xml:space="preserve"> locally configured </w:t>
      </w:r>
      <w:r>
        <w:t xml:space="preserve">in the </w:t>
      </w:r>
      <w:r w:rsidRPr="009E0DE1">
        <w:t>AMF. The AMF selects a PCF instance based on the available PCF instances obtained from the NRF or locally configured</w:t>
      </w:r>
      <w:r>
        <w:t xml:space="preserve"> information</w:t>
      </w:r>
      <w:r w:rsidRPr="009E0DE1">
        <w:t xml:space="preserve"> in the AMF</w:t>
      </w:r>
      <w:r>
        <w:t>, depending on operator's policies</w:t>
      </w:r>
      <w:r w:rsidRPr="009E0DE1">
        <w:t>.</w:t>
      </w:r>
      <w:ins w:id="6" w:author="Magnus Hallenstål" w:date="2019-05-07T11:18:00Z">
        <w:r>
          <w:t xml:space="preserve"> </w:t>
        </w:r>
        <w:r w:rsidRPr="00C4784D">
          <w:t xml:space="preserve">In the </w:t>
        </w:r>
        <w:proofErr w:type="spellStart"/>
        <w:proofErr w:type="gramStart"/>
        <w:r w:rsidRPr="00C4784D">
          <w:t>non roaming</w:t>
        </w:r>
        <w:proofErr w:type="spellEnd"/>
        <w:proofErr w:type="gramEnd"/>
        <w:r w:rsidRPr="00C4784D">
          <w:t xml:space="preserve"> case, the AMF selects a PCF instance for AM policy association and selects the same PCF instance for UE policy association. In the roaming case, the AMF selects a V-PCF instance for AM policy association and selects the same V-PCF instance for UE policy association.</w:t>
        </w:r>
      </w:ins>
    </w:p>
    <w:p w14:paraId="6E279B0F" w14:textId="77777777" w:rsidR="00C4784D" w:rsidRDefault="00C4784D" w:rsidP="00C4784D">
      <w:pPr>
        <w:pStyle w:val="B1"/>
        <w:rPr>
          <w:ins w:id="7" w:author="Magnus Hallenstål" w:date="2019-05-07T11:19:00Z"/>
        </w:rPr>
      </w:pPr>
      <w:ins w:id="8" w:author="Magnus Hallenstål" w:date="2019-05-07T11:19:00Z">
        <w:r>
          <w:tab/>
          <w:t>The following factors may be considered at PCF discovery and selection by the AMF</w:t>
        </w:r>
      </w:ins>
    </w:p>
    <w:p w14:paraId="00747FAC" w14:textId="77777777" w:rsidR="00C4784D" w:rsidRDefault="00C4784D" w:rsidP="00C4784D">
      <w:pPr>
        <w:pStyle w:val="B1"/>
        <w:rPr>
          <w:ins w:id="9" w:author="Magnus Hallenstål" w:date="2019-05-07T11:19:00Z"/>
        </w:rPr>
      </w:pPr>
      <w:ins w:id="10" w:author="Magnus Hallenstål" w:date="2019-05-07T11:19:00Z">
        <w:r>
          <w:tab/>
          <w:t>-</w:t>
        </w:r>
        <w:r>
          <w:tab/>
          <w:t>SUPI</w:t>
        </w:r>
        <w:r w:rsidRPr="000341C1">
          <w:t xml:space="preserve">; the </w:t>
        </w:r>
        <w:r>
          <w:t>AMF</w:t>
        </w:r>
        <w:r w:rsidRPr="000341C1">
          <w:t xml:space="preserve"> NF consumer selects a PCF instance based on the SUPI range the UE's SUPI belongs to or based on the results of a discovery procedure with NRF using the UE's SUPI as input for PCF discovery</w:t>
        </w:r>
        <w:r>
          <w:t>.</w:t>
        </w:r>
      </w:ins>
    </w:p>
    <w:p w14:paraId="6F997B99" w14:textId="4942FEBC" w:rsidR="00C4784D" w:rsidRPr="009E0DE1" w:rsidRDefault="00C4784D" w:rsidP="00C4784D">
      <w:pPr>
        <w:pStyle w:val="B1"/>
      </w:pPr>
      <w:ins w:id="11" w:author="Magnus Hallenstål" w:date="2019-05-07T11:19:00Z">
        <w:r>
          <w:tab/>
          <w:t>-</w:t>
        </w:r>
        <w:r>
          <w:tab/>
          <w:t>S-NSSAIs.</w:t>
        </w:r>
      </w:ins>
    </w:p>
    <w:p w14:paraId="394ED251" w14:textId="5CB7AF35" w:rsidR="00BC72F8" w:rsidRDefault="00C4784D" w:rsidP="00E758D4">
      <w:pPr>
        <w:pStyle w:val="B1"/>
      </w:pPr>
      <w:r w:rsidRPr="009E0DE1">
        <w:t>-</w:t>
      </w:r>
      <w:r w:rsidRPr="009E0DE1">
        <w:tab/>
        <w:t>The SMF</w:t>
      </w:r>
      <w:r>
        <w:t xml:space="preserve"> may</w:t>
      </w:r>
      <w:r w:rsidRPr="009E0DE1">
        <w:t xml:space="preserve"> utilize the NRF to discover the</w:t>
      </w:r>
      <w:r>
        <w:t xml:space="preserve"> candidate</w:t>
      </w:r>
      <w:r w:rsidRPr="009E0DE1">
        <w:t xml:space="preserve"> PCF instance</w:t>
      </w:r>
      <w:r>
        <w:t>(s)</w:t>
      </w:r>
      <w:r w:rsidRPr="009E0DE1">
        <w:t xml:space="preserve"> for a PDU Session</w:t>
      </w:r>
      <w:r>
        <w:t>. In addition,</w:t>
      </w:r>
      <w:r w:rsidRPr="009E0DE1">
        <w:t xml:space="preserve"> PCF information</w:t>
      </w:r>
      <w:r>
        <w:t xml:space="preserve"> may also be</w:t>
      </w:r>
      <w:r w:rsidRPr="009E0DE1">
        <w:t xml:space="preserve"> locally configured </w:t>
      </w:r>
      <w:r>
        <w:t xml:space="preserve">in the </w:t>
      </w:r>
      <w:r w:rsidRPr="009E0DE1">
        <w:t>SMF. The SMF selects a PCF instance based on the available PCF instances obtained from the NRF or locally configured</w:t>
      </w:r>
      <w:r>
        <w:t xml:space="preserve"> information</w:t>
      </w:r>
      <w:r w:rsidRPr="009E0DE1">
        <w:t xml:space="preserve"> in the SMF</w:t>
      </w:r>
      <w:r>
        <w:t>, depending on operator's policies</w:t>
      </w:r>
      <w:r w:rsidRPr="009E0DE1">
        <w:t>.</w:t>
      </w:r>
      <w:r>
        <w:t xml:space="preserve"> </w:t>
      </w:r>
      <w:del w:id="12" w:author="Magnus Hallenstål" w:date="2019-05-07T11:18:00Z">
        <w:r w:rsidDel="00C4784D">
          <w:delText>In the non roaming case, the AMF selects a PCF instance for AM policy association and selects the same PCF instance for UE policy association. In the roaming case, the AMF selects a V-PCF instance for AM policy association and selects the same V-PCF instance for UE policy association.</w:delText>
        </w:r>
      </w:del>
      <w:bookmarkEnd w:id="3"/>
    </w:p>
    <w:p w14:paraId="1FE742C5" w14:textId="3EA4D719" w:rsidR="00BC72F8" w:rsidRDefault="00BC72F8" w:rsidP="00BC72F8">
      <w:pPr>
        <w:pStyle w:val="B1"/>
      </w:pPr>
      <w:r>
        <w:tab/>
        <w:t xml:space="preserve">The following factors may be considered </w:t>
      </w:r>
      <w:del w:id="13" w:author="Magnus Hallenstål 2" w:date="2019-03-18T15:56:00Z">
        <w:r w:rsidDel="00C72C21">
          <w:delText>during the</w:delText>
        </w:r>
      </w:del>
      <w:ins w:id="14" w:author="Magnus Hallenstål 2" w:date="2019-03-18T15:56:00Z">
        <w:r w:rsidR="00C72C21">
          <w:t>at</w:t>
        </w:r>
      </w:ins>
      <w:r>
        <w:t xml:space="preserve"> PCF </w:t>
      </w:r>
      <w:bookmarkStart w:id="15" w:name="_Hlk5853147"/>
      <w:ins w:id="16" w:author="Ericsson" w:date="2019-04-10T11:32:00Z">
        <w:r w:rsidR="002366FE">
          <w:t xml:space="preserve">discovery and </w:t>
        </w:r>
      </w:ins>
      <w:bookmarkEnd w:id="15"/>
      <w:r>
        <w:t>selection by the SMF:</w:t>
      </w:r>
    </w:p>
    <w:p w14:paraId="05F95523" w14:textId="77777777" w:rsidR="00BC72F8" w:rsidRDefault="00BC72F8" w:rsidP="00BC72F8">
      <w:pPr>
        <w:pStyle w:val="B2"/>
      </w:pPr>
      <w:r>
        <w:t>a)</w:t>
      </w:r>
      <w:r>
        <w:tab/>
        <w:t>Local operator policies.</w:t>
      </w:r>
    </w:p>
    <w:p w14:paraId="4943E3D3" w14:textId="77777777" w:rsidR="00BC72F8" w:rsidRDefault="00BC72F8" w:rsidP="00BC72F8">
      <w:pPr>
        <w:pStyle w:val="B2"/>
      </w:pPr>
      <w:r>
        <w:t>b)</w:t>
      </w:r>
      <w:r>
        <w:tab/>
        <w:t>Selected Data Network Name (DNN).</w:t>
      </w:r>
    </w:p>
    <w:p w14:paraId="4C87F3C3" w14:textId="77777777" w:rsidR="00BC72F8" w:rsidRDefault="00BC72F8" w:rsidP="00BC72F8">
      <w:pPr>
        <w:pStyle w:val="B2"/>
      </w:pPr>
      <w:r>
        <w:t>c)</w:t>
      </w:r>
      <w:r>
        <w:tab/>
        <w:t>S-NSSAI of the PDU Session.</w:t>
      </w:r>
    </w:p>
    <w:p w14:paraId="169F5F14" w14:textId="541B71FF" w:rsidR="00BC72F8" w:rsidRDefault="00BC72F8" w:rsidP="00BC72F8">
      <w:pPr>
        <w:pStyle w:val="B2"/>
      </w:pPr>
      <w:r>
        <w:t>d)</w:t>
      </w:r>
      <w:r>
        <w:tab/>
        <w:t>SUPI</w:t>
      </w:r>
      <w:bookmarkStart w:id="17" w:name="_Hlk5853134"/>
      <w:ins w:id="18" w:author="Ericsson" w:date="2019-04-11T05:24:00Z">
        <w:r w:rsidR="000341C1">
          <w:rPr>
            <w:lang w:val="x-none" w:eastAsia="ko-KR"/>
          </w:rPr>
          <w:t>;</w:t>
        </w:r>
        <w:r w:rsidR="000341C1">
          <w:rPr>
            <w:lang w:val="x-none"/>
          </w:rPr>
          <w:t xml:space="preserve"> the </w:t>
        </w:r>
        <w:r w:rsidR="000341C1">
          <w:t>SMF</w:t>
        </w:r>
        <w:r w:rsidR="000341C1">
          <w:rPr>
            <w:lang w:val="x-none"/>
          </w:rPr>
          <w:t xml:space="preserve"> NF consumer selects a </w:t>
        </w:r>
        <w:r w:rsidR="000341C1">
          <w:t>PCF</w:t>
        </w:r>
        <w:r w:rsidR="000341C1">
          <w:rPr>
            <w:lang w:val="x-none"/>
          </w:rPr>
          <w:t xml:space="preserve"> instance based on the SUPI range the UE's SUPI belongs to or based on the results of a discovery procedure with NRF using the UE's SUPI as input for </w:t>
        </w:r>
        <w:r w:rsidR="000341C1">
          <w:t>PCF</w:t>
        </w:r>
        <w:r w:rsidR="000341C1">
          <w:rPr>
            <w:lang w:val="x-none"/>
          </w:rPr>
          <w:t xml:space="preserve"> discovery</w:t>
        </w:r>
      </w:ins>
      <w:del w:id="19" w:author="Ericsson" w:date="2019-04-11T05:24:00Z">
        <w:r w:rsidDel="000341C1">
          <w:delText xml:space="preserve"> </w:delText>
        </w:r>
        <w:bookmarkEnd w:id="17"/>
        <w:r w:rsidDel="000341C1">
          <w:delText>range</w:delText>
        </w:r>
      </w:del>
      <w:r>
        <w:t>.</w:t>
      </w:r>
    </w:p>
    <w:p w14:paraId="7B0F3091" w14:textId="77777777" w:rsidR="00BC72F8" w:rsidRDefault="00BC72F8" w:rsidP="00BC72F8">
      <w:r>
        <w:t>The selected PCF for serving the UE and the selected PCF for serving a PDU session of this UE may be the same or may be different.</w:t>
      </w:r>
    </w:p>
    <w:p w14:paraId="10C7349F" w14:textId="77777777" w:rsidR="00BC72F8" w:rsidRDefault="00BC72F8" w:rsidP="00BC72F8">
      <w:r>
        <w:t>In the following scenarios, information about the PCF that has been selected by the AMF (i.e. the PCF id) can be forwarded to another NF and used instead of performing PCF discovery and selection as described above:</w:t>
      </w:r>
    </w:p>
    <w:p w14:paraId="453A7AAC" w14:textId="77777777" w:rsidR="00BC72F8" w:rsidRDefault="00BC72F8" w:rsidP="00BC72F8">
      <w:pPr>
        <w:pStyle w:val="B1"/>
      </w:pPr>
      <w:r>
        <w:t>-</w:t>
      </w:r>
      <w:r>
        <w:tab/>
        <w:t>During AMF relocation, the AMF may receive a PCF id from the source AMF to enable the usage of the same PCF by the AMF, and the AMF may decide based on operator policy either to use the same PCF or select a new PCF.</w:t>
      </w:r>
    </w:p>
    <w:p w14:paraId="6F80FA30" w14:textId="77777777" w:rsidR="00BC72F8" w:rsidRDefault="00BC72F8" w:rsidP="00BC72F8">
      <w:pPr>
        <w:pStyle w:val="B1"/>
      </w:pPr>
      <w:r>
        <w:t>-</w:t>
      </w:r>
      <w:r>
        <w:tab/>
        <w:t>The AMF may, based on operator policies, forward the selected PCF id to the SMF during the PDU Session Establishment procedure to enable the usage of the same PCF for the AMF and the SMF. The SMF may decide based on operator policy either to use the same PCF or select a new PCF.</w:t>
      </w:r>
    </w:p>
    <w:p w14:paraId="3DA0B623" w14:textId="28AD4A09" w:rsidR="004E6C9E" w:rsidRPr="009E0DE1" w:rsidRDefault="00BC72F8" w:rsidP="00E758D4">
      <w:pPr>
        <w:pStyle w:val="B1"/>
      </w:pPr>
      <w:r>
        <w:t>-</w:t>
      </w:r>
      <w:r>
        <w:tab/>
        <w:t>In the roaming case, the AMF may, based on operator policies, e.g. roaming agreement, select the H-PCF in addition to the V-PCF for a UE by performing the PCF discovery and selection as described above. The AMF sends the selected H-PCF id to the V-PCF during the policy association establishment procedure.</w:t>
      </w:r>
    </w:p>
    <w:p w14:paraId="538A62DF" w14:textId="1AFDFA23" w:rsidR="001E41F3" w:rsidRPr="00E758D4" w:rsidRDefault="004E6C9E" w:rsidP="00E758D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sectPr w:rsidR="001E41F3" w:rsidRPr="00E758D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6839D2" w14:textId="77777777" w:rsidR="00002701" w:rsidRDefault="00002701">
      <w:r>
        <w:separator/>
      </w:r>
    </w:p>
  </w:endnote>
  <w:endnote w:type="continuationSeparator" w:id="0">
    <w:p w14:paraId="1CFA1FF0" w14:textId="77777777" w:rsidR="00002701" w:rsidRDefault="00002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2E8ADB" w14:textId="77777777" w:rsidR="00002701" w:rsidRDefault="00002701">
      <w:r>
        <w:separator/>
      </w:r>
    </w:p>
  </w:footnote>
  <w:footnote w:type="continuationSeparator" w:id="0">
    <w:p w14:paraId="31ECF401" w14:textId="77777777" w:rsidR="00002701" w:rsidRDefault="000027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E758D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Hallenstål">
    <w15:presenceInfo w15:providerId="None" w15:userId="Magnus Hallenstål"/>
  </w15:person>
  <w15:person w15:author="Magnus Hallenstål 2">
    <w15:presenceInfo w15:providerId="None" w15:userId="Magnus Hallenstål 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01"/>
    <w:rsid w:val="00022E4A"/>
    <w:rsid w:val="000341C1"/>
    <w:rsid w:val="000A6394"/>
    <w:rsid w:val="000B7FED"/>
    <w:rsid w:val="000C038A"/>
    <w:rsid w:val="000C6598"/>
    <w:rsid w:val="000F7815"/>
    <w:rsid w:val="00145D43"/>
    <w:rsid w:val="00192C46"/>
    <w:rsid w:val="001A08B3"/>
    <w:rsid w:val="001A7B60"/>
    <w:rsid w:val="001B52F0"/>
    <w:rsid w:val="001B7A65"/>
    <w:rsid w:val="001C618E"/>
    <w:rsid w:val="001D1683"/>
    <w:rsid w:val="001D68DC"/>
    <w:rsid w:val="001E41F3"/>
    <w:rsid w:val="002366FE"/>
    <w:rsid w:val="0026004D"/>
    <w:rsid w:val="002640DD"/>
    <w:rsid w:val="00275D12"/>
    <w:rsid w:val="00284FEB"/>
    <w:rsid w:val="002860C4"/>
    <w:rsid w:val="002876E0"/>
    <w:rsid w:val="002B5741"/>
    <w:rsid w:val="002F64CF"/>
    <w:rsid w:val="00305409"/>
    <w:rsid w:val="00334DE3"/>
    <w:rsid w:val="00343956"/>
    <w:rsid w:val="003609EF"/>
    <w:rsid w:val="0036231A"/>
    <w:rsid w:val="00374DD4"/>
    <w:rsid w:val="003E1A36"/>
    <w:rsid w:val="00410371"/>
    <w:rsid w:val="004242F1"/>
    <w:rsid w:val="00444351"/>
    <w:rsid w:val="004523DC"/>
    <w:rsid w:val="00480E3E"/>
    <w:rsid w:val="004B75B7"/>
    <w:rsid w:val="004C0C0D"/>
    <w:rsid w:val="004E6C9E"/>
    <w:rsid w:val="0051580D"/>
    <w:rsid w:val="005171F8"/>
    <w:rsid w:val="00547111"/>
    <w:rsid w:val="005778CF"/>
    <w:rsid w:val="00592D74"/>
    <w:rsid w:val="00597A08"/>
    <w:rsid w:val="005B4D29"/>
    <w:rsid w:val="005E2C44"/>
    <w:rsid w:val="005E5A58"/>
    <w:rsid w:val="00600F67"/>
    <w:rsid w:val="00621188"/>
    <w:rsid w:val="006257ED"/>
    <w:rsid w:val="0069133F"/>
    <w:rsid w:val="00695808"/>
    <w:rsid w:val="00695C00"/>
    <w:rsid w:val="006B46FB"/>
    <w:rsid w:val="006C00DD"/>
    <w:rsid w:val="006E21FB"/>
    <w:rsid w:val="006F69CA"/>
    <w:rsid w:val="007673FB"/>
    <w:rsid w:val="00792342"/>
    <w:rsid w:val="007977A8"/>
    <w:rsid w:val="007A704A"/>
    <w:rsid w:val="007B512A"/>
    <w:rsid w:val="007B5ED6"/>
    <w:rsid w:val="007C2097"/>
    <w:rsid w:val="007D6A07"/>
    <w:rsid w:val="007D7E68"/>
    <w:rsid w:val="007F7259"/>
    <w:rsid w:val="00803187"/>
    <w:rsid w:val="008040A8"/>
    <w:rsid w:val="008279FA"/>
    <w:rsid w:val="00841B2A"/>
    <w:rsid w:val="008626E7"/>
    <w:rsid w:val="00870EE7"/>
    <w:rsid w:val="00881E7E"/>
    <w:rsid w:val="00884E2A"/>
    <w:rsid w:val="00896E19"/>
    <w:rsid w:val="008A45A6"/>
    <w:rsid w:val="008D494C"/>
    <w:rsid w:val="008E3B26"/>
    <w:rsid w:val="008F686C"/>
    <w:rsid w:val="009148DE"/>
    <w:rsid w:val="00914EF1"/>
    <w:rsid w:val="00947838"/>
    <w:rsid w:val="009603EE"/>
    <w:rsid w:val="009611BF"/>
    <w:rsid w:val="00975F91"/>
    <w:rsid w:val="009777D9"/>
    <w:rsid w:val="00991B88"/>
    <w:rsid w:val="009A5753"/>
    <w:rsid w:val="009A579D"/>
    <w:rsid w:val="009E3297"/>
    <w:rsid w:val="009F734F"/>
    <w:rsid w:val="00A0488A"/>
    <w:rsid w:val="00A246B6"/>
    <w:rsid w:val="00A36C32"/>
    <w:rsid w:val="00A47E70"/>
    <w:rsid w:val="00A50CF0"/>
    <w:rsid w:val="00A7671C"/>
    <w:rsid w:val="00AA2CBC"/>
    <w:rsid w:val="00AB52CF"/>
    <w:rsid w:val="00AC5820"/>
    <w:rsid w:val="00AD1CD8"/>
    <w:rsid w:val="00AF0387"/>
    <w:rsid w:val="00AF4FB7"/>
    <w:rsid w:val="00B258BB"/>
    <w:rsid w:val="00B57E7F"/>
    <w:rsid w:val="00B67B97"/>
    <w:rsid w:val="00B80846"/>
    <w:rsid w:val="00B968C8"/>
    <w:rsid w:val="00BA3EC5"/>
    <w:rsid w:val="00BA51D9"/>
    <w:rsid w:val="00BA5478"/>
    <w:rsid w:val="00BB5DFC"/>
    <w:rsid w:val="00BC72F8"/>
    <w:rsid w:val="00BD279D"/>
    <w:rsid w:val="00BD390B"/>
    <w:rsid w:val="00BD6BB8"/>
    <w:rsid w:val="00C148DA"/>
    <w:rsid w:val="00C26C8F"/>
    <w:rsid w:val="00C4784D"/>
    <w:rsid w:val="00C66BA2"/>
    <w:rsid w:val="00C719E7"/>
    <w:rsid w:val="00C72C21"/>
    <w:rsid w:val="00C95985"/>
    <w:rsid w:val="00CB52C9"/>
    <w:rsid w:val="00CC5026"/>
    <w:rsid w:val="00CC68D0"/>
    <w:rsid w:val="00CD2754"/>
    <w:rsid w:val="00D03F9A"/>
    <w:rsid w:val="00D06D51"/>
    <w:rsid w:val="00D24991"/>
    <w:rsid w:val="00D37E86"/>
    <w:rsid w:val="00D50255"/>
    <w:rsid w:val="00DE34CF"/>
    <w:rsid w:val="00E13F3D"/>
    <w:rsid w:val="00E34898"/>
    <w:rsid w:val="00E51C51"/>
    <w:rsid w:val="00E758D4"/>
    <w:rsid w:val="00E838FF"/>
    <w:rsid w:val="00EB09B7"/>
    <w:rsid w:val="00ED4D5A"/>
    <w:rsid w:val="00EE7D7C"/>
    <w:rsid w:val="00F25D98"/>
    <w:rsid w:val="00F300FB"/>
    <w:rsid w:val="00F47296"/>
    <w:rsid w:val="00F74D0D"/>
    <w:rsid w:val="00FB6386"/>
    <w:rsid w:val="00FC48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BC72F8"/>
    <w:rPr>
      <w:color w:val="000000"/>
      <w:lang w:eastAsia="ja-JP"/>
    </w:rPr>
  </w:style>
  <w:style w:type="character" w:customStyle="1" w:styleId="B2Char">
    <w:name w:val="B2 Char"/>
    <w:link w:val="B2"/>
    <w:locked/>
    <w:rsid w:val="00BC72F8"/>
    <w:rPr>
      <w:rFonts w:ascii="Times New Roman" w:hAnsi="Times New Roman"/>
      <w:lang w:val="en-GB" w:eastAsia="en-US"/>
    </w:rPr>
  </w:style>
  <w:style w:type="character" w:customStyle="1" w:styleId="Heading4Char">
    <w:name w:val="Heading 4 Char"/>
    <w:link w:val="Heading4"/>
    <w:locked/>
    <w:rsid w:val="00C4784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2537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schemas.microsoft.com/office/infopath/2007/PartnerControls"/>
    <ds:schemaRef ds:uri="5febc012-5c62-464f-8fa7-270037d49f7f"/>
    <ds:schemaRef ds:uri="a666cf78-39a2-4718-9e3a-c97e0f2e2430"/>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2.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3.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2C9043-D9CB-4CCC-B48E-C75465F70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912</Words>
  <Characters>5106</Characters>
  <Application>Microsoft Office Word</Application>
  <DocSecurity>4</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Magnus Hallenstål</cp:lastModifiedBy>
  <cp:revision>2</cp:revision>
  <cp:lastPrinted>1900-01-01T05:00:00Z</cp:lastPrinted>
  <dcterms:created xsi:type="dcterms:W3CDTF">2019-05-07T09:36:00Z</dcterms:created>
  <dcterms:modified xsi:type="dcterms:W3CDTF">2019-05-07T09:36:00Z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